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48" w:rsidRDefault="00390D48" w:rsidP="00390D48">
      <w:pPr>
        <w:spacing w:after="0" w:line="240" w:lineRule="auto"/>
        <w:ind w:left="4961"/>
        <w:jc w:val="center"/>
        <w:rPr>
          <w:rFonts w:ascii="Times New Roman" w:hAnsi="Times New Roman"/>
          <w:sz w:val="24"/>
          <w:szCs w:val="24"/>
          <w:lang w:eastAsia="lt-LT"/>
        </w:rPr>
      </w:pPr>
    </w:p>
    <w:p w:rsidR="00390D48" w:rsidRDefault="00390D48" w:rsidP="00390D48">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3284"/>
        <w:gridCol w:w="3285"/>
        <w:gridCol w:w="3285"/>
      </w:tblGrid>
      <w:tr w:rsidR="00390D48" w:rsidTr="006230A0">
        <w:trPr>
          <w:trHeight w:val="2366"/>
        </w:trPr>
        <w:tc>
          <w:tcPr>
            <w:tcW w:w="3284" w:type="dxa"/>
            <w:shd w:val="clear" w:color="auto" w:fill="auto"/>
          </w:tcPr>
          <w:p w:rsidR="00390D48" w:rsidRDefault="00390D48" w:rsidP="006230A0">
            <w:pPr>
              <w:snapToGrid w:val="0"/>
              <w:spacing w:after="0" w:line="360" w:lineRule="auto"/>
              <w:jc w:val="right"/>
              <w:rPr>
                <w:rFonts w:ascii="Times New Roman" w:hAnsi="Times New Roman"/>
                <w:sz w:val="24"/>
                <w:szCs w:val="24"/>
                <w:highlight w:val="lightGray"/>
              </w:rPr>
            </w:pPr>
          </w:p>
        </w:tc>
        <w:tc>
          <w:tcPr>
            <w:tcW w:w="3285" w:type="dxa"/>
            <w:shd w:val="clear" w:color="auto" w:fill="auto"/>
          </w:tcPr>
          <w:p w:rsidR="00390D48" w:rsidRDefault="00390D48" w:rsidP="006230A0">
            <w:pPr>
              <w:snapToGrid w:val="0"/>
              <w:spacing w:after="0" w:line="360" w:lineRule="auto"/>
              <w:jc w:val="right"/>
              <w:rPr>
                <w:rFonts w:ascii="Times New Roman" w:hAnsi="Times New Roman"/>
                <w:sz w:val="24"/>
                <w:szCs w:val="24"/>
                <w:highlight w:val="lightGray"/>
              </w:rPr>
            </w:pPr>
          </w:p>
          <w:p w:rsidR="00390D48" w:rsidRPr="00BD642B" w:rsidRDefault="00390D48" w:rsidP="006230A0">
            <w:pPr>
              <w:rPr>
                <w:rFonts w:ascii="Times New Roman" w:hAnsi="Times New Roman"/>
                <w:sz w:val="24"/>
                <w:szCs w:val="24"/>
                <w:highlight w:val="lightGray"/>
              </w:rPr>
            </w:pPr>
          </w:p>
          <w:p w:rsidR="00390D48" w:rsidRDefault="00390D48" w:rsidP="006230A0">
            <w:pPr>
              <w:rPr>
                <w:rFonts w:ascii="Times New Roman" w:hAnsi="Times New Roman"/>
                <w:sz w:val="24"/>
                <w:szCs w:val="24"/>
                <w:highlight w:val="lightGray"/>
              </w:rPr>
            </w:pPr>
          </w:p>
          <w:p w:rsidR="00390D48" w:rsidRPr="00BD642B" w:rsidRDefault="00390D48" w:rsidP="006230A0">
            <w:pPr>
              <w:rPr>
                <w:rFonts w:ascii="Times New Roman" w:hAnsi="Times New Roman"/>
                <w:sz w:val="24"/>
                <w:szCs w:val="24"/>
                <w:highlight w:val="lightGray"/>
              </w:rPr>
            </w:pPr>
          </w:p>
        </w:tc>
        <w:tc>
          <w:tcPr>
            <w:tcW w:w="3285" w:type="dxa"/>
            <w:shd w:val="clear" w:color="auto" w:fill="auto"/>
          </w:tcPr>
          <w:p w:rsidR="00390D48" w:rsidRDefault="00390D48" w:rsidP="006230A0">
            <w:pPr>
              <w:spacing w:after="0" w:line="240" w:lineRule="auto"/>
              <w:jc w:val="right"/>
            </w:pPr>
            <w:r>
              <w:rPr>
                <w:rFonts w:ascii="Times New Roman" w:hAnsi="Times New Roman"/>
                <w:sz w:val="24"/>
                <w:szCs w:val="24"/>
              </w:rPr>
              <w:t>PATVIRTINTA</w:t>
            </w:r>
          </w:p>
          <w:p w:rsidR="00390D48" w:rsidRPr="00CB0E3A" w:rsidRDefault="00390D48" w:rsidP="006230A0">
            <w:pPr>
              <w:spacing w:after="0" w:line="240" w:lineRule="auto"/>
              <w:jc w:val="right"/>
            </w:pPr>
            <w:r w:rsidRPr="00CB0E3A">
              <w:rPr>
                <w:rFonts w:ascii="Times New Roman" w:hAnsi="Times New Roman"/>
                <w:sz w:val="24"/>
                <w:szCs w:val="24"/>
              </w:rPr>
              <w:t>Naujosios Akmenės miesto vietos veiklos grupės valdyba</w:t>
            </w:r>
          </w:p>
          <w:p w:rsidR="00390D48" w:rsidRDefault="00390D48" w:rsidP="006230A0">
            <w:pPr>
              <w:spacing w:after="0" w:line="240" w:lineRule="auto"/>
              <w:jc w:val="right"/>
              <w:rPr>
                <w:rFonts w:ascii="Times New Roman" w:hAnsi="Times New Roman"/>
                <w:sz w:val="24"/>
                <w:szCs w:val="24"/>
              </w:rPr>
            </w:pPr>
            <w:r>
              <w:rPr>
                <w:rFonts w:ascii="Times New Roman" w:hAnsi="Times New Roman"/>
                <w:sz w:val="24"/>
                <w:szCs w:val="24"/>
              </w:rPr>
              <w:t>2019-03-14 Nr. 2019/03/14/04</w:t>
            </w:r>
          </w:p>
          <w:p w:rsidR="00390D48" w:rsidRDefault="00390D48" w:rsidP="006230A0">
            <w:pPr>
              <w:spacing w:after="0" w:line="240" w:lineRule="auto"/>
              <w:jc w:val="right"/>
            </w:pPr>
          </w:p>
        </w:tc>
      </w:tr>
    </w:tbl>
    <w:p w:rsidR="00390D48" w:rsidRDefault="00390D48" w:rsidP="00390D48">
      <w:pPr>
        <w:spacing w:after="0" w:line="240" w:lineRule="auto"/>
        <w:jc w:val="center"/>
      </w:pPr>
      <w:r>
        <w:rPr>
          <w:rFonts w:ascii="Times New Roman" w:hAnsi="Times New Roman"/>
          <w:b/>
          <w:sz w:val="24"/>
          <w:szCs w:val="24"/>
          <w:lang w:eastAsia="lt-LT"/>
        </w:rPr>
        <w:t xml:space="preserve">NAUJOSIOS AKMENĖS MIESTO VIETOS VEIKLOS GRUPĖ </w:t>
      </w:r>
    </w:p>
    <w:p w:rsidR="00390D48" w:rsidRPr="00556301" w:rsidRDefault="00390D48" w:rsidP="00390D48">
      <w:pPr>
        <w:spacing w:after="0" w:line="240" w:lineRule="auto"/>
        <w:jc w:val="center"/>
        <w:rPr>
          <w:b/>
          <w:sz w:val="24"/>
          <w:szCs w:val="28"/>
        </w:rPr>
      </w:pPr>
      <w:r>
        <w:rPr>
          <w:rFonts w:ascii="Times New Roman" w:hAnsi="Times New Roman"/>
          <w:b/>
          <w:sz w:val="24"/>
          <w:szCs w:val="24"/>
          <w:lang w:eastAsia="lt-LT"/>
        </w:rPr>
        <w:t xml:space="preserve">KVIETIMAS TEIKTI VIETOS PLĖTROS PROJEKTINIUS PASIŪLYMUS PAGAL STRATEGIJĄ </w:t>
      </w:r>
      <w:r w:rsidRPr="00556301">
        <w:rPr>
          <w:rFonts w:ascii="Times New Roman" w:hAnsi="Times New Roman"/>
          <w:b/>
          <w:sz w:val="24"/>
          <w:szCs w:val="28"/>
          <w:lang w:eastAsia="lt-LT"/>
        </w:rPr>
        <w:t>„SOCIALINĖS RIZIKOS ŠEIMŲ IR VAIKŲ SOCIALIZACIJA TEIKIANT SOCIALINES PASLAUGAS“</w:t>
      </w:r>
    </w:p>
    <w:p w:rsidR="00390D48" w:rsidRDefault="00390D48" w:rsidP="00390D48">
      <w:pPr>
        <w:spacing w:after="0" w:line="240" w:lineRule="auto"/>
        <w:jc w:val="center"/>
      </w:pPr>
      <w:r>
        <w:rPr>
          <w:rFonts w:ascii="Times New Roman" w:hAnsi="Times New Roman"/>
          <w:b/>
          <w:sz w:val="24"/>
          <w:szCs w:val="24"/>
          <w:lang w:eastAsia="lt-LT"/>
        </w:rPr>
        <w:t>Nr. 2</w:t>
      </w:r>
    </w:p>
    <w:p w:rsidR="00390D48" w:rsidRPr="0019463E" w:rsidRDefault="00390D48" w:rsidP="00390D48">
      <w:pPr>
        <w:spacing w:after="0" w:line="240" w:lineRule="auto"/>
        <w:jc w:val="center"/>
      </w:pPr>
    </w:p>
    <w:p w:rsidR="00390D48" w:rsidRDefault="00390D48" w:rsidP="00390D48">
      <w:pPr>
        <w:spacing w:after="0" w:line="240" w:lineRule="auto"/>
        <w:jc w:val="center"/>
        <w:rPr>
          <w:rFonts w:ascii="Times New Roman" w:hAnsi="Times New Roman"/>
          <w:b/>
          <w:sz w:val="24"/>
          <w:szCs w:val="24"/>
          <w:lang w:eastAsia="lt-LT"/>
        </w:rPr>
      </w:pPr>
    </w:p>
    <w:p w:rsidR="00BD646C" w:rsidRPr="00BD646C" w:rsidRDefault="00390D48" w:rsidP="00BD646C">
      <w:pPr>
        <w:pStyle w:val="prastasiniatinklio1"/>
        <w:jc w:val="both"/>
        <w:rPr>
          <w:color w:val="333333"/>
        </w:rPr>
      </w:pPr>
      <w:r>
        <w:rPr>
          <w:color w:val="333333"/>
        </w:rPr>
        <w:tab/>
      </w:r>
      <w:r w:rsidRPr="000012CD">
        <w:rPr>
          <w:color w:val="333333"/>
        </w:rPr>
        <w:t xml:space="preserve">Naujosios Akmenės vietos veiklos grupė kviečia teikti projektinius pasiūlymus dėl projektų, skirtų įgyvendinti </w:t>
      </w:r>
      <w:r w:rsidR="00BD646C">
        <w:rPr>
          <w:color w:val="333333"/>
        </w:rPr>
        <w:t>1.1.2</w:t>
      </w:r>
      <w:r>
        <w:rPr>
          <w:color w:val="333333"/>
        </w:rPr>
        <w:t xml:space="preserve"> veiksmą </w:t>
      </w:r>
      <w:r w:rsidR="00BD646C">
        <w:rPr>
          <w:color w:val="333333"/>
        </w:rPr>
        <w:t>„S</w:t>
      </w:r>
      <w:r w:rsidR="00BD646C" w:rsidRPr="00BD646C">
        <w:rPr>
          <w:color w:val="333333"/>
        </w:rPr>
        <w:t>ocialinės rizikos šeimų ir vaikų socializacija teikiant socialines paslaugas“</w:t>
      </w:r>
    </w:p>
    <w:p w:rsidR="00390D48" w:rsidRPr="000012CD" w:rsidRDefault="00390D48" w:rsidP="00390D48">
      <w:pPr>
        <w:spacing w:after="0" w:line="240" w:lineRule="auto"/>
        <w:jc w:val="center"/>
        <w:rPr>
          <w:rFonts w:ascii="Times New Roman" w:hAnsi="Times New Roman"/>
          <w:color w:val="333333"/>
          <w:sz w:val="24"/>
          <w:szCs w:val="24"/>
          <w:lang w:eastAsia="lt-LT"/>
        </w:rPr>
      </w:pPr>
    </w:p>
    <w:p w:rsidR="00390D48" w:rsidRPr="000012CD" w:rsidRDefault="00390D48" w:rsidP="00390D48">
      <w:pPr>
        <w:spacing w:after="0" w:line="240" w:lineRule="auto"/>
        <w:rPr>
          <w:sz w:val="24"/>
          <w:szCs w:val="24"/>
        </w:rPr>
      </w:pPr>
      <w:r w:rsidRPr="000012CD">
        <w:rPr>
          <w:sz w:val="24"/>
          <w:szCs w:val="24"/>
        </w:rPr>
        <w:tab/>
      </w:r>
      <w:r w:rsidRPr="000012CD">
        <w:rPr>
          <w:sz w:val="24"/>
          <w:szCs w:val="24"/>
        </w:rPr>
        <w:tab/>
      </w:r>
      <w:r w:rsidRPr="000012CD">
        <w:rPr>
          <w:sz w:val="24"/>
          <w:szCs w:val="24"/>
        </w:rPr>
        <w:tab/>
      </w:r>
    </w:p>
    <w:tbl>
      <w:tblPr>
        <w:tblW w:w="9864" w:type="dxa"/>
        <w:tblInd w:w="-5" w:type="dxa"/>
        <w:tblLayout w:type="fixed"/>
        <w:tblLook w:val="0000" w:firstRow="0" w:lastRow="0" w:firstColumn="0" w:lastColumn="0" w:noHBand="0" w:noVBand="0"/>
      </w:tblPr>
      <w:tblGrid>
        <w:gridCol w:w="516"/>
        <w:gridCol w:w="16"/>
        <w:gridCol w:w="3346"/>
        <w:gridCol w:w="5986"/>
      </w:tblGrid>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rPr>
              <w:t>Vietos plėtros strategijos veiksmas, kuriam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BD646C" w:rsidRPr="00BD646C" w:rsidRDefault="00BD646C" w:rsidP="00BD646C">
            <w:pPr>
              <w:pStyle w:val="prastasiniatinklio1"/>
              <w:jc w:val="both"/>
              <w:rPr>
                <w:color w:val="333333"/>
              </w:rPr>
            </w:pPr>
            <w:r>
              <w:rPr>
                <w:lang w:eastAsia="lt-LT"/>
              </w:rPr>
              <w:t>1.1.2</w:t>
            </w:r>
            <w:r w:rsidR="00390D48">
              <w:rPr>
                <w:lang w:eastAsia="lt-LT"/>
              </w:rPr>
              <w:t xml:space="preserve"> Veiksmas. </w:t>
            </w:r>
            <w:r>
              <w:rPr>
                <w:color w:val="333333"/>
              </w:rPr>
              <w:t>„S</w:t>
            </w:r>
            <w:r w:rsidRPr="00BD646C">
              <w:rPr>
                <w:color w:val="333333"/>
              </w:rPr>
              <w:t>ocialinės rizikos šeimų ir vaikų socializacija teikiant socialines paslaugas“</w:t>
            </w:r>
          </w:p>
          <w:p w:rsidR="00390D48" w:rsidRPr="000012CD" w:rsidRDefault="00390D48" w:rsidP="00BD646C">
            <w:pPr>
              <w:snapToGrid w:val="0"/>
              <w:spacing w:after="0" w:line="240" w:lineRule="auto"/>
              <w:rPr>
                <w:rFonts w:ascii="Times New Roman" w:hAnsi="Times New Roman"/>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Informacija, kur galimi pareiškėjai gali susipažinti su atrankos kriterijais</w:t>
            </w:r>
            <w:r w:rsidR="00BD646C">
              <w:rPr>
                <w:rFonts w:ascii="Times New Roman" w:hAnsi="Times New Roman"/>
                <w:sz w:val="24"/>
                <w:szCs w:val="24"/>
                <w:lang w:eastAsia="lt-LT"/>
              </w:rPr>
              <w:t xml:space="preserve"> nr.2</w:t>
            </w:r>
            <w:r w:rsidRPr="000012CD">
              <w:rPr>
                <w:rFonts w:ascii="Times New Roman" w:hAnsi="Times New Roman"/>
                <w:sz w:val="24"/>
                <w:szCs w:val="24"/>
                <w:lang w:eastAsia="lt-LT"/>
              </w:rPr>
              <w:t xml:space="preserve"> ir balais yra pateikiama interneto svetainėje www.akmene.lt</w:t>
            </w:r>
            <w:r>
              <w:rPr>
                <w:rFonts w:ascii="Times New Roman" w:hAnsi="Times New Roman"/>
                <w:sz w:val="24"/>
                <w:szCs w:val="24"/>
                <w:lang w:eastAsia="lt-LT"/>
              </w:rPr>
              <w:t xml:space="preserve"> nuoroda į miesto </w:t>
            </w:r>
            <w:proofErr w:type="spellStart"/>
            <w:r>
              <w:rPr>
                <w:rFonts w:ascii="Times New Roman" w:hAnsi="Times New Roman"/>
                <w:sz w:val="24"/>
                <w:szCs w:val="24"/>
                <w:lang w:eastAsia="lt-LT"/>
              </w:rPr>
              <w:t>vvg</w:t>
            </w:r>
            <w:proofErr w:type="spellEnd"/>
            <w:r>
              <w:rPr>
                <w:rFonts w:ascii="Times New Roman" w:hAnsi="Times New Roman"/>
                <w:sz w:val="24"/>
                <w:szCs w:val="24"/>
                <w:lang w:eastAsia="lt-LT"/>
              </w:rPr>
              <w:t xml:space="preserve"> arba teirautis Naujosios Akmenės vietos veiklos grupės veiklų koordinatorės.</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w:t>
            </w:r>
            <w:r w:rsidRPr="00715778">
              <w:rPr>
                <w:rFonts w:ascii="Times New Roman" w:hAnsi="Times New Roman"/>
                <w:sz w:val="24"/>
                <w:szCs w:val="24"/>
                <w:lang w:eastAsia="lt-LT"/>
              </w:rPr>
              <w:t xml:space="preserve">aujosios </w:t>
            </w:r>
            <w:r>
              <w:rPr>
                <w:rFonts w:ascii="Times New Roman" w:hAnsi="Times New Roman"/>
                <w:sz w:val="24"/>
                <w:szCs w:val="24"/>
                <w:lang w:eastAsia="lt-LT"/>
              </w:rPr>
              <w:t>A</w:t>
            </w:r>
            <w:r w:rsidRPr="00715778">
              <w:rPr>
                <w:rFonts w:ascii="Times New Roman" w:hAnsi="Times New Roman"/>
                <w:sz w:val="24"/>
                <w:szCs w:val="24"/>
                <w:lang w:eastAsia="lt-LT"/>
              </w:rPr>
              <w:t>kmenės miesto vietos plėtros projektinių pasiūlymų vertinimo ir atrankos vidaus tvarkos aprašas</w:t>
            </w:r>
            <w:r>
              <w:rPr>
                <w:rFonts w:ascii="Times New Roman" w:hAnsi="Times New Roman"/>
                <w:sz w:val="24"/>
                <w:szCs w:val="24"/>
                <w:lang w:eastAsia="lt-LT"/>
              </w:rPr>
              <w:t xml:space="preserve"> </w:t>
            </w:r>
            <w:r w:rsidRPr="000012CD">
              <w:rPr>
                <w:rFonts w:ascii="Times New Roman" w:hAnsi="Times New Roman"/>
                <w:sz w:val="24"/>
                <w:szCs w:val="24"/>
                <w:lang w:eastAsia="lt-LT"/>
              </w:rPr>
              <w:t>yra skelbiama</w:t>
            </w:r>
            <w:r>
              <w:rPr>
                <w:rFonts w:ascii="Times New Roman" w:hAnsi="Times New Roman"/>
                <w:sz w:val="24"/>
                <w:szCs w:val="24"/>
                <w:lang w:eastAsia="lt-LT"/>
              </w:rPr>
              <w:t>s</w:t>
            </w:r>
            <w:r w:rsidRPr="000012CD">
              <w:rPr>
                <w:rFonts w:ascii="Times New Roman" w:hAnsi="Times New Roman"/>
                <w:sz w:val="24"/>
                <w:szCs w:val="24"/>
                <w:lang w:eastAsia="lt-LT"/>
              </w:rPr>
              <w:t xml:space="preserve"> interneto svetainėje adresu www.akmene.lt </w:t>
            </w:r>
            <w:r>
              <w:rPr>
                <w:rFonts w:ascii="Times New Roman" w:hAnsi="Times New Roman"/>
                <w:sz w:val="24"/>
                <w:szCs w:val="24"/>
                <w:lang w:eastAsia="lt-LT"/>
              </w:rPr>
              <w:t xml:space="preserve">nuoroda į miesto </w:t>
            </w:r>
            <w:proofErr w:type="spellStart"/>
            <w:r>
              <w:rPr>
                <w:rFonts w:ascii="Times New Roman" w:hAnsi="Times New Roman"/>
                <w:sz w:val="24"/>
                <w:szCs w:val="24"/>
                <w:lang w:eastAsia="lt-LT"/>
              </w:rPr>
              <w:t>vvg</w:t>
            </w:r>
            <w:proofErr w:type="spellEnd"/>
            <w:r>
              <w:rPr>
                <w:rFonts w:ascii="Times New Roman" w:hAnsi="Times New Roman"/>
                <w:sz w:val="24"/>
                <w:szCs w:val="24"/>
                <w:lang w:eastAsia="lt-LT"/>
              </w:rPr>
              <w:t xml:space="preserve"> arba teirautis Naujosios Akmenės miesto vietos veiklos grupės veiklų koordinatorės.</w:t>
            </w:r>
          </w:p>
          <w:p w:rsidR="00390D48" w:rsidRPr="000012CD" w:rsidRDefault="00390D48" w:rsidP="006230A0">
            <w:pPr>
              <w:spacing w:after="0" w:line="240" w:lineRule="auto"/>
              <w:jc w:val="both"/>
              <w:rPr>
                <w:sz w:val="24"/>
                <w:szCs w:val="24"/>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jc w:val="both"/>
              <w:rPr>
                <w:rFonts w:ascii="Times New Roman" w:hAnsi="Times New Roman"/>
                <w:b/>
                <w:sz w:val="24"/>
                <w:szCs w:val="24"/>
              </w:rPr>
            </w:pPr>
            <w:r w:rsidRPr="003369B4">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hd w:val="clear" w:color="auto" w:fill="FFFFFF"/>
              <w:suppressAutoHyphens w:val="0"/>
              <w:spacing w:after="0" w:line="240" w:lineRule="auto"/>
              <w:rPr>
                <w:rFonts w:ascii="Times New Roman" w:hAnsi="Times New Roman"/>
                <w:sz w:val="24"/>
                <w:szCs w:val="24"/>
                <w:lang w:eastAsia="lt-LT"/>
              </w:rPr>
            </w:pPr>
            <w:r w:rsidRPr="008A4A45">
              <w:rPr>
                <w:rFonts w:ascii="Times New Roman" w:hAnsi="Times New Roman"/>
                <w:sz w:val="24"/>
                <w:szCs w:val="24"/>
                <w:lang w:eastAsia="lt-LT"/>
              </w:rPr>
              <w:t xml:space="preserve">Projekto veiklos turi </w:t>
            </w:r>
            <w:r>
              <w:rPr>
                <w:rFonts w:ascii="Times New Roman" w:hAnsi="Times New Roman"/>
                <w:sz w:val="24"/>
                <w:szCs w:val="24"/>
                <w:lang w:eastAsia="lt-LT"/>
              </w:rPr>
              <w:t>atitikti</w:t>
            </w:r>
            <w:r w:rsidRPr="008A4A45">
              <w:rPr>
                <w:rFonts w:ascii="Times New Roman" w:hAnsi="Times New Roman"/>
                <w:sz w:val="24"/>
                <w:szCs w:val="24"/>
                <w:lang w:eastAsia="lt-LT"/>
              </w:rPr>
              <w:t xml:space="preserve"> vietos plėtros strategijos veiksmą</w:t>
            </w:r>
            <w:r>
              <w:rPr>
                <w:rFonts w:ascii="Times New Roman" w:hAnsi="Times New Roman"/>
                <w:sz w:val="24"/>
                <w:szCs w:val="24"/>
                <w:lang w:eastAsia="lt-LT"/>
              </w:rPr>
              <w:t xml:space="preserve"> </w:t>
            </w:r>
            <w:r w:rsidR="00BD646C">
              <w:rPr>
                <w:rFonts w:ascii="Times New Roman" w:hAnsi="Times New Roman"/>
                <w:sz w:val="24"/>
                <w:szCs w:val="24"/>
                <w:lang w:val="en-US" w:eastAsia="lt-LT"/>
              </w:rPr>
              <w:t>1.1.2</w:t>
            </w:r>
            <w:r w:rsidRPr="008A4A45">
              <w:rPr>
                <w:rFonts w:ascii="Times New Roman" w:hAnsi="Times New Roman"/>
                <w:sz w:val="24"/>
                <w:szCs w:val="24"/>
                <w:lang w:eastAsia="lt-LT"/>
              </w:rPr>
              <w:t>, kuriam įgyvendinti vietos veiklos grupė šį projektą atrinko, ir atitikti bent vieną iš pagal Apraš</w:t>
            </w:r>
            <w:r>
              <w:rPr>
                <w:rFonts w:ascii="Times New Roman" w:hAnsi="Times New Roman"/>
                <w:sz w:val="24"/>
                <w:szCs w:val="24"/>
                <w:lang w:eastAsia="lt-LT"/>
              </w:rPr>
              <w:t>us</w:t>
            </w:r>
            <w:r w:rsidRPr="008A4A45">
              <w:rPr>
                <w:rFonts w:ascii="Times New Roman" w:hAnsi="Times New Roman"/>
                <w:sz w:val="24"/>
                <w:szCs w:val="24"/>
                <w:lang w:eastAsia="lt-LT"/>
              </w:rPr>
              <w:t xml:space="preserve"> remiamų veiklų.</w:t>
            </w:r>
          </w:p>
          <w:p w:rsidR="003369B4" w:rsidRPr="003369B4" w:rsidRDefault="003369B4" w:rsidP="00272CB3">
            <w:pPr>
              <w:jc w:val="both"/>
              <w:rPr>
                <w:rFonts w:ascii="Times New Roman" w:hAnsi="Times New Roman"/>
                <w:sz w:val="24"/>
                <w:szCs w:val="24"/>
              </w:rPr>
            </w:pPr>
            <w:r w:rsidRPr="003369B4">
              <w:rPr>
                <w:rFonts w:ascii="Times New Roman" w:hAnsi="Times New Roman"/>
                <w:sz w:val="24"/>
                <w:szCs w:val="24"/>
              </w:rPr>
              <w:t>Tikslinės grupės</w:t>
            </w:r>
            <w:r>
              <w:rPr>
                <w:rFonts w:ascii="Times New Roman" w:hAnsi="Times New Roman"/>
                <w:sz w:val="24"/>
                <w:szCs w:val="24"/>
              </w:rPr>
              <w:t>:</w:t>
            </w:r>
          </w:p>
          <w:p w:rsidR="003369B4" w:rsidRPr="003369B4" w:rsidRDefault="003369B4" w:rsidP="00272CB3">
            <w:pPr>
              <w:jc w:val="both"/>
              <w:rPr>
                <w:rFonts w:ascii="Times New Roman" w:hAnsi="Times New Roman"/>
                <w:sz w:val="24"/>
                <w:szCs w:val="24"/>
              </w:rPr>
            </w:pPr>
            <w:r w:rsidRPr="003369B4">
              <w:rPr>
                <w:rFonts w:ascii="Times New Roman" w:hAnsi="Times New Roman"/>
                <w:sz w:val="24"/>
                <w:szCs w:val="24"/>
                <w:lang w:val="en-US"/>
              </w:rPr>
              <w:t xml:space="preserve">1) </w:t>
            </w:r>
            <w:r w:rsidRPr="003369B4">
              <w:rPr>
                <w:rFonts w:ascii="Times New Roman" w:hAnsi="Times New Roman"/>
                <w:sz w:val="24"/>
                <w:szCs w:val="24"/>
              </w:rPr>
              <w:t xml:space="preserve">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w:t>
            </w:r>
            <w:r w:rsidRPr="003369B4">
              <w:rPr>
                <w:rFonts w:ascii="Times New Roman" w:hAnsi="Times New Roman"/>
                <w:sz w:val="24"/>
                <w:szCs w:val="24"/>
              </w:rPr>
              <w:lastRenderedPageBreak/>
              <w:t>smurtą šeimoje ir dėl šių priežasčių jų galimybės ugdytis ir dalyvauti visuomenės gyvenime yra ribotos);</w:t>
            </w:r>
          </w:p>
          <w:p w:rsidR="003369B4" w:rsidRPr="003369B4" w:rsidRDefault="003369B4" w:rsidP="00272CB3">
            <w:pPr>
              <w:jc w:val="both"/>
              <w:rPr>
                <w:rFonts w:ascii="Times New Roman" w:hAnsi="Times New Roman"/>
                <w:sz w:val="24"/>
                <w:szCs w:val="24"/>
              </w:rPr>
            </w:pPr>
            <w:r w:rsidRPr="003369B4">
              <w:rPr>
                <w:rFonts w:ascii="Times New Roman" w:hAnsi="Times New Roman"/>
                <w:sz w:val="24"/>
                <w:szCs w:val="24"/>
              </w:rPr>
              <w:t>2)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272CB3" w:rsidRDefault="00C413B9" w:rsidP="00272CB3">
            <w:pPr>
              <w:shd w:val="clear" w:color="auto" w:fill="FFFFFF"/>
              <w:suppressAutoHyphens w:val="0"/>
              <w:spacing w:after="0" w:line="240" w:lineRule="auto"/>
              <w:rPr>
                <w:rFonts w:ascii="Times New Roman" w:hAnsi="Times New Roman"/>
                <w:sz w:val="24"/>
                <w:szCs w:val="24"/>
                <w:lang w:eastAsia="lt-LT"/>
              </w:rPr>
            </w:pPr>
            <w:r w:rsidRPr="00C413B9">
              <w:rPr>
                <w:rFonts w:ascii="Times New Roman" w:hAnsi="Times New Roman"/>
                <w:sz w:val="24"/>
                <w:szCs w:val="24"/>
                <w:lang w:eastAsia="lt-LT"/>
              </w:rPr>
              <w:t>Veiksmo rodiklis: viso 60 dalyvių, parengta ne mažiau 6 savanoriai.</w:t>
            </w:r>
          </w:p>
          <w:p w:rsidR="00390D48" w:rsidRPr="00C413B9" w:rsidRDefault="00390D48" w:rsidP="00C413B9">
            <w:pPr>
              <w:shd w:val="clear" w:color="auto" w:fill="FFFFFF"/>
              <w:suppressAutoHyphens w:val="0"/>
              <w:spacing w:after="100" w:afterAutospacing="1" w:line="240" w:lineRule="auto"/>
              <w:rPr>
                <w:rFonts w:ascii="Times New Roman" w:hAnsi="Times New Roman"/>
                <w:sz w:val="24"/>
                <w:szCs w:val="24"/>
              </w:rPr>
            </w:pPr>
            <w:r w:rsidRPr="008A4A45">
              <w:rPr>
                <w:rFonts w:ascii="Times New Roman" w:hAnsi="Times New Roman"/>
                <w:i/>
                <w:sz w:val="24"/>
                <w:szCs w:val="24"/>
              </w:rPr>
              <w:t>Projekto veiklų dalyvis</w:t>
            </w:r>
            <w:r w:rsidRPr="008A4A45">
              <w:rPr>
                <w:rFonts w:ascii="Times New Roman" w:hAnsi="Times New Roman"/>
                <w:sz w:val="24"/>
                <w:szCs w:val="24"/>
              </w:rPr>
              <w:t xml:space="preserve"> – projekto veiklose dalyvaujantis tikslinės grupės atstovas (fizinis asmuo).</w:t>
            </w:r>
          </w:p>
          <w:p w:rsidR="00390D48" w:rsidRPr="000012CD" w:rsidRDefault="00390D48" w:rsidP="00AE6879">
            <w:pPr>
              <w:spacing w:after="0" w:line="240" w:lineRule="auto"/>
              <w:jc w:val="both"/>
              <w:rPr>
                <w:rFonts w:ascii="Times New Roman" w:hAnsi="Times New Roman"/>
                <w:sz w:val="24"/>
                <w:szCs w:val="24"/>
              </w:rPr>
            </w:pPr>
            <w:r w:rsidRPr="008A4A45">
              <w:rPr>
                <w:rFonts w:ascii="Times New Roman" w:hAnsi="Times New Roman"/>
                <w:i/>
                <w:sz w:val="24"/>
                <w:szCs w:val="24"/>
              </w:rPr>
              <w:t>Tikslinė grupė</w:t>
            </w:r>
            <w:r w:rsidRPr="008A4A45">
              <w:rPr>
                <w:rFonts w:ascii="Times New Roman" w:hAnsi="Times New Roman"/>
                <w:sz w:val="24"/>
                <w:szCs w:val="24"/>
              </w:rPr>
              <w:t xml:space="preserve"> – socialinė grupė ar jos dalis, į kurią orientuota pareiškėjo vykdoma projekto veikl</w:t>
            </w:r>
            <w:r w:rsidR="00AE6879">
              <w:rPr>
                <w:rFonts w:ascii="Times New Roman" w:hAnsi="Times New Roman"/>
                <w:sz w:val="24"/>
                <w:szCs w:val="24"/>
              </w:rPr>
              <w:t>a.</w:t>
            </w:r>
          </w:p>
        </w:tc>
      </w:tr>
      <w:tr w:rsidR="00390D48" w:rsidRPr="000012CD" w:rsidTr="003369B4">
        <w:tc>
          <w:tcPr>
            <w:tcW w:w="516" w:type="dxa"/>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rPr>
                <w:rFonts w:ascii="Times New Roman" w:hAnsi="Times New Roman"/>
                <w:sz w:val="24"/>
                <w:szCs w:val="24"/>
                <w:lang w:eastAsia="lt-LT"/>
              </w:rPr>
            </w:pPr>
            <w:r w:rsidRPr="003369B4">
              <w:rPr>
                <w:rFonts w:ascii="Times New Roman" w:hAnsi="Times New Roman"/>
                <w:sz w:val="24"/>
                <w:szCs w:val="24"/>
                <w:lang w:eastAsia="lt-LT"/>
              </w:rPr>
              <w:lastRenderedPageBreak/>
              <w:t>5.</w:t>
            </w:r>
          </w:p>
        </w:tc>
        <w:tc>
          <w:tcPr>
            <w:tcW w:w="3357" w:type="dxa"/>
            <w:gridSpan w:val="2"/>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jc w:val="both"/>
              <w:rPr>
                <w:rStyle w:val="Grietas"/>
                <w:rFonts w:ascii="Times New Roman" w:hAnsi="Times New Roman"/>
                <w:b w:val="0"/>
                <w:sz w:val="24"/>
                <w:szCs w:val="24"/>
              </w:rPr>
            </w:pPr>
            <w:r w:rsidRPr="003369B4">
              <w:rPr>
                <w:rStyle w:val="Grietas"/>
                <w:rFonts w:ascii="Times New Roman" w:hAnsi="Times New Roman"/>
                <w:b w:val="0"/>
                <w:sz w:val="24"/>
                <w:szCs w:val="24"/>
              </w:rPr>
              <w:t>Galimi projekto įgyvendinimo terminai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Projektas turi būti pradėtas įgyvendinti, t. y. projekto finansavimo sutartis sudaryta</w:t>
            </w:r>
            <w:r>
              <w:rPr>
                <w:rFonts w:ascii="Times New Roman" w:hAnsi="Times New Roman"/>
                <w:sz w:val="24"/>
                <w:szCs w:val="24"/>
                <w:lang w:eastAsia="lt-LT"/>
              </w:rPr>
              <w:t>,</w:t>
            </w:r>
            <w:r w:rsidRPr="008A4A45">
              <w:rPr>
                <w:rFonts w:ascii="Times New Roman" w:hAnsi="Times New Roman"/>
                <w:sz w:val="24"/>
                <w:szCs w:val="24"/>
                <w:lang w:eastAsia="lt-LT"/>
              </w:rPr>
              <w:t xml:space="preserve"> ne vėliau kaip iki 2020 m. sausio 1 d. Projektų veiklos turi būti baigtos ne vėliau nei 2022 m. gruodžio 31 d.</w:t>
            </w:r>
          </w:p>
          <w:p w:rsidR="00390D48" w:rsidRPr="008A4A45" w:rsidRDefault="00390D48"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 xml:space="preserve">Projekto veiklos, įskaitant ir veikloms vykdyti reikalingus pirkimus, gali būti pradėtos įgyvendinti ir projekto išlaidos gali būti patirtos iki projekto sutarties pasirašymo, bet ne anksčiau nei projektas bus įtrauktas į vietos veiklos grupės sudarytą vietos plėtros projektų sąrašą.  </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6.</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Pareiškėjais ir partneriais gali būti juridiniai asmenys bei juridinių asmenų filialai ir atstovybės. </w:t>
            </w:r>
          </w:p>
          <w:p w:rsidR="00390D48" w:rsidRPr="008A4A45" w:rsidRDefault="00390D48"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savo veiklą turi vykdyti (veikti) vietos plėtros strategijos įgyvendinimo teritorijoje, o partneris – vietos plėtros strategijos įgyvendinimo teritorijoje ar besiribojančioje teritorijoje.</w:t>
            </w:r>
          </w:p>
          <w:p w:rsidR="00390D48" w:rsidRPr="008A4A45" w:rsidRDefault="00390D48"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90D48" w:rsidRPr="008A4A45" w:rsidRDefault="00390D48"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Laikoma, kad juridinis asmuo vykdo veiklą besiribojančioje teritorijoje, jei besiribojančioje teritorijoje esančiu adresu </w:t>
            </w:r>
            <w:r w:rsidRPr="008A4A45">
              <w:rPr>
                <w:rFonts w:ascii="Times New Roman" w:hAnsi="Times New Roman"/>
                <w:sz w:val="24"/>
                <w:szCs w:val="24"/>
              </w:rPr>
              <w:lastRenderedPageBreak/>
              <w:t>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juridinio asmens filialas, atstovybė vykdo veiklą vietos plėtros strategijos įgyvendinimo teritorijoje, jei jis vietos plėtros strategijos įgyvendinimo teritorijoje vykdo faktinę veiklą.</w:t>
            </w: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(jeigu jis nėra biudžetinė įstaiga ar vietos veiklos grupė) paraiškos dėl projekto finansavimo pateikimo Įgyvendinančiajai institucijai dieną turi būti registruotas Juridinių asmenų registre ne trumpiau kaip 2 metus. Partneriui reikalavimai dėl veiklos trukmės netaikomi.</w:t>
            </w: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partneriai turi turėti teisę (pagal  įstatus, nuostatus) užsiimti ta veikla, kuriai vykdyti skirtas projektas.</w:t>
            </w: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partneris (</w:t>
            </w:r>
            <w:r w:rsidRPr="00457C5C">
              <w:rPr>
                <w:rFonts w:ascii="Times New Roman" w:hAnsi="Times New Roman"/>
                <w:sz w:val="24"/>
                <w:szCs w:val="24"/>
              </w:rPr>
              <w:t xml:space="preserve">kurių </w:t>
            </w:r>
            <w:r w:rsidRPr="00457C5C">
              <w:rPr>
                <w:rFonts w:ascii="Times New Roman" w:hAnsi="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sz w:val="24"/>
                <w:szCs w:val="24"/>
              </w:rPr>
              <w:t xml:space="preserve"> turi atitikti šias sąlygas:</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 jam nėra iškelta byla dėl bankroto arba restruktūrizavimo, pradėtas ikiteisminis tyrimas dėl ūkinės komercinės veiklos, taip pat jis nėra likviduojamas ar dėl jo priimtas kreditorių susirinkimo nutarimas bankroto procedūras vykdyti ne teismo tvarka;</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paraiškos pateikimo dieną jis neturi su mokesčių ir socialinio draudimo įmokų mokėjimu susijusių skolų, viršijančių kiekvienu atveju 50 eurų sumą; laikoma, kad pareiškėjas (partneris) skolų neturi ir tuo atveju, jei jam Lietuvos Respublikos teisės aktų nustatyta tvarka yra atidėti mokesčių arba socialinio draudimo įmokų mokėjimo terminai;</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jo vadovas ar kitas (kiti) asmuo (asmenys),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ar mažosios bendrijos atstovas (-ai),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juridinio asmens vardu sudaryti sandorį, ar buhalteris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neturi neišnykusio arba nepanaikinto teistumo;</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 xml:space="preserve"> dėl jo per paskutinius 5 metus nebuvo priimtas ir įsiteisėjęs apkaltinamasis teismo nuosprendis </w:t>
            </w:r>
            <w:r w:rsidRPr="008A4A45">
              <w:rPr>
                <w:rFonts w:ascii="Times New Roman" w:hAnsi="Times New Roman"/>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w:t>
            </w:r>
            <w:r w:rsidRPr="008A4A45">
              <w:rPr>
                <w:rFonts w:ascii="Times New Roman" w:hAnsi="Times New Roman"/>
                <w:sz w:val="24"/>
                <w:szCs w:val="24"/>
              </w:rPr>
              <w:lastRenderedPageBreak/>
              <w:t>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p>
          <w:p w:rsidR="00390D48" w:rsidRPr="008A4A45" w:rsidRDefault="00390D48" w:rsidP="006230A0">
            <w:pPr>
              <w:pStyle w:val="Sraopastraipa"/>
              <w:spacing w:after="0" w:line="240" w:lineRule="auto"/>
              <w:jc w:val="both"/>
              <w:rPr>
                <w:rFonts w:ascii="Times New Roman" w:hAnsi="Times New Roman"/>
                <w:sz w:val="24"/>
                <w:szCs w:val="24"/>
              </w:rPr>
            </w:pP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Kai pareiškėjas projektą numato įgyvendinti kartu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pareiškėjas turi paraiškoje pagrįsti partnerio įtraukimo į projektą būtinumą ir iki paraiškos pateikimo įgyvendinančiajai institucijai dienos sudaryti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jungtinės veiklos sutartį.</w:t>
            </w:r>
          </w:p>
          <w:p w:rsidR="00AE6879" w:rsidRPr="008A4A45" w:rsidRDefault="00AE6879" w:rsidP="006230A0">
            <w:pPr>
              <w:spacing w:after="0" w:line="240" w:lineRule="auto"/>
              <w:jc w:val="both"/>
              <w:rPr>
                <w:rFonts w:ascii="Times New Roman" w:hAnsi="Times New Roman"/>
                <w:sz w:val="24"/>
                <w:szCs w:val="24"/>
              </w:rPr>
            </w:pPr>
          </w:p>
          <w:p w:rsidR="00390D48" w:rsidRDefault="00AE6879" w:rsidP="006230A0">
            <w:pPr>
              <w:spacing w:after="0" w:line="240" w:lineRule="auto"/>
              <w:jc w:val="both"/>
              <w:rPr>
                <w:rFonts w:ascii="Times New Roman" w:hAnsi="Times New Roman"/>
                <w:sz w:val="24"/>
                <w:szCs w:val="24"/>
              </w:rPr>
            </w:pPr>
            <w:r w:rsidRPr="00AE6879">
              <w:rPr>
                <w:rFonts w:ascii="Times New Roman" w:hAnsi="Times New Roman"/>
                <w:sz w:val="24"/>
                <w:szCs w:val="24"/>
              </w:rPr>
              <w:t>Papildomas reikalavimas pareiškėjams, partneriams– projekto pareiškėju arba bent vienu iš partnerių  turi būti nevyriausybinė organizacija (NVO) arba socialinis partneris (t. y. darbuotojų ar darbdavių organizacija).</w:t>
            </w:r>
          </w:p>
          <w:p w:rsidR="00AE6879" w:rsidRPr="008A4A45" w:rsidRDefault="00AE6879"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i/>
                <w:sz w:val="24"/>
                <w:szCs w:val="24"/>
              </w:rPr>
              <w:t>Vietos plėtros strategijos įgyvendinimo teritorija</w:t>
            </w:r>
            <w:r w:rsidRPr="008A4A45">
              <w:rPr>
                <w:rFonts w:ascii="Times New Roman" w:hAnsi="Times New Roman"/>
                <w:sz w:val="24"/>
                <w:szCs w:val="24"/>
              </w:rPr>
              <w:t xml:space="preserve"> - vietos plėtros strategijoje, kuriai įgyvendinti skirtas projektas, apibrėžta teritorija, kurioje numatyta įgyvendinti vietos plėtros strategiją.</w:t>
            </w:r>
          </w:p>
          <w:p w:rsidR="00390D48" w:rsidRPr="008A4A45" w:rsidRDefault="00390D48" w:rsidP="006230A0">
            <w:pPr>
              <w:spacing w:after="0" w:line="240" w:lineRule="auto"/>
              <w:ind w:firstLine="567"/>
              <w:jc w:val="both"/>
              <w:rPr>
                <w:rFonts w:ascii="Times New Roman" w:hAnsi="Times New Roman"/>
                <w:sz w:val="24"/>
                <w:szCs w:val="24"/>
              </w:rPr>
            </w:pP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i/>
                <w:sz w:val="24"/>
                <w:szCs w:val="24"/>
              </w:rPr>
              <w:t>Besiribojanti teritorija</w:t>
            </w:r>
            <w:r w:rsidRPr="008A4A45">
              <w:rPr>
                <w:rFonts w:ascii="Times New Roman" w:hAnsi="Times New Roman"/>
                <w:b/>
                <w:sz w:val="24"/>
                <w:szCs w:val="24"/>
              </w:rPr>
              <w:t xml:space="preserve"> </w:t>
            </w:r>
            <w:r w:rsidRPr="008A4A45">
              <w:rPr>
                <w:rFonts w:ascii="Times New Roman" w:hAnsi="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C413B9" w:rsidRDefault="00C413B9" w:rsidP="006230A0">
            <w:pPr>
              <w:spacing w:after="0" w:line="240" w:lineRule="auto"/>
              <w:jc w:val="both"/>
              <w:rPr>
                <w:rFonts w:ascii="Times New Roman" w:hAnsi="Times New Roman"/>
                <w:sz w:val="24"/>
                <w:szCs w:val="24"/>
              </w:rPr>
            </w:pPr>
          </w:p>
          <w:p w:rsidR="00C413B9" w:rsidRPr="000012CD" w:rsidRDefault="00C413B9" w:rsidP="006230A0">
            <w:pPr>
              <w:spacing w:after="0" w:line="240" w:lineRule="auto"/>
              <w:jc w:val="both"/>
              <w:rPr>
                <w:rFonts w:ascii="Times New Roman" w:hAnsi="Times New Roman"/>
                <w:sz w:val="24"/>
                <w:szCs w:val="24"/>
                <w:lang w:eastAsia="lt-LT"/>
              </w:rPr>
            </w:pPr>
            <w:r w:rsidRPr="00C413B9">
              <w:rPr>
                <w:rFonts w:ascii="Times New Roman" w:hAnsi="Times New Roman"/>
                <w:sz w:val="24"/>
                <w:szCs w:val="24"/>
                <w:lang w:eastAsia="lt-LT"/>
              </w:rPr>
              <w:t xml:space="preserve">NVO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w:t>
            </w:r>
            <w:r w:rsidRPr="00C413B9">
              <w:rPr>
                <w:rFonts w:ascii="Times New Roman" w:hAnsi="Times New Roman"/>
                <w:sz w:val="24"/>
                <w:szCs w:val="24"/>
                <w:lang w:eastAsia="lt-LT"/>
              </w:rPr>
              <w:lastRenderedPageBreak/>
              <w:t>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lastRenderedPageBreak/>
              <w:t>7.</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433C19" w:rsidRDefault="00DB279A" w:rsidP="006230A0">
            <w:pPr>
              <w:spacing w:after="0" w:line="240" w:lineRule="auto"/>
              <w:jc w:val="both"/>
              <w:rPr>
                <w:sz w:val="24"/>
                <w:szCs w:val="24"/>
              </w:rPr>
            </w:pPr>
            <w:r>
              <w:rPr>
                <w:rFonts w:ascii="Times New Roman" w:hAnsi="Times New Roman"/>
                <w:sz w:val="24"/>
                <w:szCs w:val="24"/>
                <w:lang w:eastAsia="lt-LT"/>
              </w:rPr>
              <w:t xml:space="preserve"> </w:t>
            </w:r>
            <w:r w:rsidRPr="00D36F4E">
              <w:rPr>
                <w:rFonts w:ascii="Times New Roman" w:hAnsi="Times New Roman"/>
                <w:lang w:eastAsia="lt-LT"/>
              </w:rPr>
              <w:t>32</w:t>
            </w:r>
            <w:r>
              <w:rPr>
                <w:rFonts w:ascii="Times New Roman" w:hAnsi="Times New Roman"/>
                <w:lang w:eastAsia="lt-LT"/>
              </w:rPr>
              <w:t xml:space="preserve"> </w:t>
            </w:r>
            <w:r w:rsidRPr="00D36F4E">
              <w:rPr>
                <w:rFonts w:ascii="Times New Roman" w:hAnsi="Times New Roman"/>
                <w:lang w:eastAsia="lt-LT"/>
              </w:rPr>
              <w:t>588</w:t>
            </w:r>
            <w:r>
              <w:rPr>
                <w:rFonts w:ascii="Times New Roman" w:hAnsi="Times New Roman"/>
                <w:lang w:eastAsia="lt-LT"/>
              </w:rPr>
              <w:t xml:space="preserve"> </w:t>
            </w:r>
            <w:r w:rsidR="00390D48" w:rsidRPr="00D31736">
              <w:rPr>
                <w:rFonts w:ascii="Times New Roman" w:hAnsi="Times New Roman"/>
                <w:sz w:val="24"/>
                <w:szCs w:val="24"/>
                <w:lang w:eastAsia="lt-LT"/>
              </w:rPr>
              <w:t>Eur (</w:t>
            </w:r>
            <w:r w:rsidR="00390D48" w:rsidRPr="00D31736">
              <w:rPr>
                <w:rFonts w:ascii="Times New Roman" w:hAnsi="Times New Roman"/>
                <w:sz w:val="24"/>
                <w:szCs w:val="24"/>
              </w:rPr>
              <w:t>lėšos yra ES ir VB lėšos (į šią sumą įskaičiuo</w:t>
            </w:r>
            <w:r w:rsidR="000F7729">
              <w:rPr>
                <w:rFonts w:ascii="Times New Roman" w:hAnsi="Times New Roman"/>
                <w:sz w:val="24"/>
                <w:szCs w:val="24"/>
              </w:rPr>
              <w:t>tos pareiškėjo lėšos</w:t>
            </w:r>
            <w:bookmarkStart w:id="0" w:name="_GoBack"/>
            <w:bookmarkEnd w:id="0"/>
            <w:r w:rsidR="00390D48" w:rsidRPr="00D31736">
              <w:rPr>
                <w:sz w:val="24"/>
                <w:szCs w:val="24"/>
              </w:rPr>
              <w:t>)</w:t>
            </w:r>
            <w:r w:rsidR="00390D48" w:rsidRPr="00D31736">
              <w:rPr>
                <w:rFonts w:ascii="Times New Roman" w:hAnsi="Times New Roman"/>
                <w:sz w:val="24"/>
                <w:szCs w:val="24"/>
                <w:lang w:eastAsia="lt-LT"/>
              </w:rPr>
              <w:t xml:space="preserve">. </w:t>
            </w:r>
            <w:r w:rsidR="00390D48" w:rsidRPr="00D31736">
              <w:rPr>
                <w:rFonts w:ascii="Times New Roman" w:eastAsia="Times New Roman" w:hAnsi="Times New Roman"/>
                <w:color w:val="000000"/>
                <w:sz w:val="24"/>
                <w:szCs w:val="24"/>
              </w:rPr>
              <w:t>Būtina pareiškėjo nuosavo indėlio suma ir, jei</w:t>
            </w:r>
            <w:r w:rsidR="00390D48">
              <w:rPr>
                <w:rFonts w:ascii="Times New Roman" w:eastAsia="Times New Roman" w:hAnsi="Times New Roman"/>
                <w:color w:val="000000"/>
                <w:sz w:val="24"/>
                <w:szCs w:val="24"/>
              </w:rPr>
              <w:t>gu</w:t>
            </w:r>
            <w:r w:rsidR="00390D48" w:rsidRPr="00D31736">
              <w:rPr>
                <w:rFonts w:ascii="Times New Roman" w:eastAsia="Times New Roman" w:hAnsi="Times New Roman"/>
                <w:color w:val="000000"/>
                <w:sz w:val="24"/>
                <w:szCs w:val="24"/>
              </w:rPr>
              <w:t xml:space="preserve"> taikoma, savivaldybės biudžeto lėšų 8</w:t>
            </w:r>
            <w:r w:rsidR="00390D48" w:rsidRPr="00D31736">
              <w:rPr>
                <w:rFonts w:ascii="Times New Roman" w:eastAsia="Times New Roman" w:hAnsi="Times New Roman"/>
                <w:color w:val="000000"/>
                <w:sz w:val="24"/>
                <w:szCs w:val="24"/>
                <w:lang w:val="en-US"/>
              </w:rPr>
              <w:t xml:space="preserve">% </w:t>
            </w:r>
            <w:r w:rsidR="00390D48">
              <w:rPr>
                <w:rFonts w:ascii="Times New Roman" w:eastAsia="Times New Roman" w:hAnsi="Times New Roman"/>
                <w:color w:val="000000"/>
                <w:sz w:val="24"/>
                <w:szCs w:val="24"/>
              </w:rPr>
              <w:t xml:space="preserve">nuo projekto sumos. </w:t>
            </w:r>
          </w:p>
          <w:p w:rsidR="00390D48" w:rsidRPr="000012CD" w:rsidRDefault="00390D48" w:rsidP="006230A0">
            <w:pPr>
              <w:spacing w:after="0" w:line="240" w:lineRule="auto"/>
              <w:rPr>
                <w:rFonts w:ascii="Times New Roman" w:hAnsi="Times New Roman"/>
                <w:i/>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8.</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pStyle w:val="Antrat2"/>
              <w:numPr>
                <w:ilvl w:val="0"/>
                <w:numId w:val="0"/>
              </w:numPr>
              <w:rPr>
                <w:szCs w:val="24"/>
              </w:rPr>
            </w:pPr>
            <w:r w:rsidRPr="000012CD">
              <w:rPr>
                <w:szCs w:val="24"/>
                <w:lang w:eastAsia="lt-LT"/>
              </w:rPr>
              <w:t xml:space="preserve">Parengti pagal </w:t>
            </w:r>
            <w:r w:rsidRPr="000012CD">
              <w:rPr>
                <w:szCs w:val="24"/>
              </w:rPr>
              <w:t xml:space="preserve">Aprašo 4 priede pateiktą formą, užpildant visus šioje formoje nurodytus laukus, </w:t>
            </w:r>
            <w:r w:rsidRPr="000012CD">
              <w:rPr>
                <w:szCs w:val="24"/>
                <w:lang w:eastAsia="lt-LT"/>
              </w:rPr>
              <w:t xml:space="preserve">parengti lietuvių kalba, parašyti kompiuteriu ir atspausdinti. </w:t>
            </w:r>
            <w:r w:rsidRPr="000012CD">
              <w:rPr>
                <w:szCs w:val="24"/>
              </w:rPr>
              <w:t>A</w:t>
            </w:r>
            <w:r w:rsidRPr="000012CD">
              <w:rPr>
                <w:szCs w:val="24"/>
                <w:lang w:eastAsia="lt-LT"/>
              </w:rPr>
              <w:t xml:space="preserve">nt kiekvieno projektinio pasiūlymo lapo turi būti pareiškėjo vadovo ar jo įgalioto asmens viza, o paskutiniame projektinio pasiūlymo lape pagal Aprašo </w:t>
            </w:r>
            <w:r w:rsidRPr="000012CD">
              <w:rPr>
                <w:szCs w:val="24"/>
                <w:lang w:val="en-US" w:eastAsia="lt-LT"/>
              </w:rPr>
              <w:t xml:space="preserve">4 </w:t>
            </w:r>
            <w:r w:rsidRPr="000012CD">
              <w:rPr>
                <w:szCs w:val="24"/>
                <w:lang w:eastAsia="lt-LT"/>
              </w:rPr>
              <w:t>priede pateiktą formą – pareiškėjo vadovo ar jo įgalioto asmens pareigos, vardas, pavardė, parašas.</w:t>
            </w:r>
          </w:p>
          <w:p w:rsidR="00390D48" w:rsidRPr="00433C19" w:rsidRDefault="00390D48" w:rsidP="006230A0">
            <w:pPr>
              <w:pStyle w:val="Antrat1"/>
              <w:numPr>
                <w:ilvl w:val="0"/>
                <w:numId w:val="0"/>
              </w:numPr>
            </w:pPr>
            <w:r w:rsidRPr="000012CD">
              <w:t>Pareiškėjai  parengtus projektinius pasiūlymus turi patei</w:t>
            </w:r>
            <w:r>
              <w:t>kti Naujosios Akmenės miesto vietos veiklos grupei</w:t>
            </w:r>
            <w:r w:rsidRPr="000012CD">
              <w:t xml:space="preserve"> per kvietime nustatytą projektinių pasiūlymų pateikimo terminą. Projektiniai pasiūlymai (pasirašyti popieriniai dokumentai) turi būti atsių</w:t>
            </w:r>
            <w:r>
              <w:t>sti Naujosios Akmenės miesto vietos veiklos grupei</w:t>
            </w:r>
            <w:r w:rsidRPr="000012CD">
              <w:t xml:space="preserve"> registruotu laišku, per kurjerį ar įtei</w:t>
            </w:r>
            <w:r>
              <w:t>kti Naujosios Akmenės miesto vietos veiklos grupei</w:t>
            </w:r>
            <w:r w:rsidRPr="000012CD">
              <w:t xml:space="preserve"> asmeniškai kvietime nurod</w:t>
            </w:r>
            <w:r>
              <w:t>ytu Naujosios Akmenės miesto vietos veiklos grupei</w:t>
            </w:r>
            <w:r w:rsidRPr="000012CD">
              <w:t xml:space="preserve"> adresu.</w:t>
            </w:r>
          </w:p>
          <w:p w:rsidR="00390D48" w:rsidRPr="000012CD" w:rsidRDefault="00390D48" w:rsidP="006230A0">
            <w:pPr>
              <w:snapToGrid w:val="0"/>
              <w:spacing w:after="0" w:line="240" w:lineRule="auto"/>
              <w:jc w:val="both"/>
              <w:rPr>
                <w:rFonts w:ascii="Times New Roman" w:hAnsi="Times New Roman"/>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9.</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jc w:val="both"/>
              <w:rPr>
                <w:rFonts w:ascii="Times New Roman" w:hAnsi="Times New Roman"/>
                <w:sz w:val="24"/>
                <w:szCs w:val="24"/>
                <w:lang w:eastAsia="lt-LT"/>
              </w:rPr>
            </w:pPr>
            <w:r w:rsidRPr="000012CD">
              <w:rPr>
                <w:rFonts w:ascii="Times New Roman" w:hAnsi="Times New Roman"/>
                <w:sz w:val="24"/>
                <w:szCs w:val="24"/>
                <w:lang w:eastAsia="lt-LT"/>
              </w:rPr>
              <w:t>2019 m. balandžio 10 d. 8:00 val.</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10.</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t xml:space="preserve">2019 m. gegužės </w:t>
            </w:r>
            <w:r>
              <w:rPr>
                <w:rFonts w:ascii="Times New Roman" w:hAnsi="Times New Roman"/>
                <w:sz w:val="24"/>
                <w:szCs w:val="24"/>
                <w:lang w:val="en-US" w:eastAsia="lt-LT"/>
              </w:rPr>
              <w:t xml:space="preserve">27 </w:t>
            </w:r>
            <w:r w:rsidRPr="000012CD">
              <w:rPr>
                <w:rFonts w:ascii="Times New Roman" w:hAnsi="Times New Roman"/>
                <w:sz w:val="24"/>
                <w:szCs w:val="24"/>
                <w:lang w:eastAsia="lt-LT"/>
              </w:rPr>
              <w:t>d. 17:00 val. Jei vietos plėtros projektinis pasiūlymas pateikiamas paštu, su 2019-05-</w:t>
            </w:r>
            <w:r>
              <w:rPr>
                <w:rFonts w:ascii="Times New Roman" w:hAnsi="Times New Roman"/>
                <w:sz w:val="24"/>
                <w:szCs w:val="24"/>
                <w:lang w:eastAsia="lt-LT"/>
              </w:rPr>
              <w:t>27</w:t>
            </w:r>
            <w:r w:rsidRPr="000012CD">
              <w:rPr>
                <w:rFonts w:ascii="Times New Roman" w:hAnsi="Times New Roman"/>
                <w:sz w:val="24"/>
                <w:szCs w:val="24"/>
                <w:lang w:eastAsia="lt-LT"/>
              </w:rPr>
              <w:t xml:space="preserve"> datos pašto žyma vietos plėtros projektinis pasiūlymas laikomas pateiktas laiku.</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lastRenderedPageBreak/>
              <w:t>1</w:t>
            </w:r>
            <w:r w:rsidR="00AE6879">
              <w:rPr>
                <w:rFonts w:ascii="Times New Roman" w:hAnsi="Times New Roman"/>
                <w:sz w:val="24"/>
                <w:szCs w:val="24"/>
                <w:lang w:eastAsia="lt-LT"/>
              </w:rPr>
              <w:t>1.</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369B4" w:rsidRPr="003369B4" w:rsidRDefault="00390D48" w:rsidP="003369B4">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369B4" w:rsidRPr="003369B4">
              <w:rPr>
                <w:rFonts w:ascii="Times New Roman" w:hAnsi="Times New Roman"/>
                <w:sz w:val="24"/>
                <w:szCs w:val="24"/>
                <w:shd w:val="clear" w:color="auto" w:fill="FFFFFF"/>
                <w:lang w:eastAsia="lt-LT"/>
              </w:rPr>
              <w:t xml:space="preserve">Atrankos ir vertinimo vidaus tvarkos aprašas,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PFSA927</w:t>
            </w:r>
            <w:r>
              <w:rPr>
                <w:rFonts w:ascii="Times New Roman" w:hAnsi="Times New Roman"/>
                <w:sz w:val="24"/>
                <w:szCs w:val="24"/>
                <w:shd w:val="clear" w:color="auto" w:fill="FFFFFF"/>
                <w:lang w:eastAsia="lt-LT"/>
              </w:rPr>
              <w:t xml:space="preserve"> </w:t>
            </w:r>
            <w:r w:rsidRPr="003369B4">
              <w:rPr>
                <w:rFonts w:ascii="Times New Roman" w:hAnsi="Times New Roman"/>
                <w:sz w:val="24"/>
                <w:szCs w:val="24"/>
                <w:shd w:val="clear" w:color="auto" w:fill="FFFFFF"/>
                <w:lang w:eastAsia="lt-LT"/>
              </w:rPr>
              <w:t>(</w:t>
            </w:r>
            <w:hyperlink r:id="rId7" w:history="1">
              <w:r w:rsidRPr="001D7290">
                <w:rPr>
                  <w:rStyle w:val="Hipersaitas"/>
                  <w:rFonts w:ascii="Times New Roman" w:hAnsi="Times New Roman"/>
                  <w:sz w:val="24"/>
                  <w:szCs w:val="24"/>
                  <w:shd w:val="clear" w:color="auto" w:fill="FFFFFF"/>
                  <w:lang w:eastAsia="lt-LT"/>
                </w:rPr>
                <w:t>https://www.e-tar.lt/portal/lt/legalAct/f351c5f05aaf11e98b599e654d7d03a0</w:t>
              </w:r>
            </w:hyperlink>
            <w:r w:rsidRPr="003369B4">
              <w:rPr>
                <w:rFonts w:ascii="Times New Roman" w:hAnsi="Times New Roman"/>
                <w:sz w:val="24"/>
                <w:szCs w:val="24"/>
                <w:shd w:val="clear" w:color="auto" w:fill="FFFFFF"/>
                <w:lang w:eastAsia="lt-LT"/>
              </w:rPr>
              <w:t>)</w:t>
            </w:r>
            <w:r>
              <w:rPr>
                <w:rFonts w:ascii="Times New Roman" w:hAnsi="Times New Roman"/>
                <w:sz w:val="24"/>
                <w:szCs w:val="24"/>
                <w:shd w:val="clear" w:color="auto" w:fill="FFFFFF"/>
                <w:lang w:eastAsia="lt-LT"/>
              </w:rPr>
              <w:t xml:space="preserve">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Strategijų atrankos ir įgyvendinimo taisyklės,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 xml:space="preserve">PAFT. Vietos plėtros projektinių pasiūlymų atrankos ir vertinimo vidaus tvarkos aprašas www.akmene.lt nuoroda į miesto VVG, kiti susiję dokumentai www.esinvesticijos.lt ir www.esf.lt interneto adresais.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Susiję teisės aktai:</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Socialinių paslaugų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Nevyriausybinių organizacijų plėtros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Savanoriškos veiklos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Piniginės socialinės paramos nepasiturintiems gyventojams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įstatymas Dėl užsieniečių teisinės padėties;</w:t>
            </w:r>
          </w:p>
          <w:p w:rsidR="00390D48" w:rsidRPr="008E2522"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Socialinės apsaugos ir darbo ministro 2006-04-05 įsakymas Nr.A1-93 ,,Dėl socialinių paslaugų katalogo patvirtinimo“.</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t>1</w:t>
            </w:r>
            <w:r w:rsidR="00AE6879">
              <w:rPr>
                <w:rFonts w:ascii="Times New Roman" w:hAnsi="Times New Roman"/>
                <w:sz w:val="24"/>
                <w:szCs w:val="24"/>
                <w:lang w:eastAsia="lt-LT"/>
              </w:rPr>
              <w:t>2.</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Kontaktinis asmuo, į kurį galimi pareiškėjai gali kreiptis, siekdami gauti  informaciją, konsultacijas su paskelbtu kvietimu susijusiais klausimais. Kontaktai:</w:t>
            </w:r>
          </w:p>
          <w:p w:rsidR="00390D48" w:rsidRPr="000012CD" w:rsidRDefault="00390D48"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 xml:space="preserve">Naujosios Akmenės miesto vietos veiklos grupės veiklų koordinatorė Alina </w:t>
            </w:r>
            <w:proofErr w:type="spellStart"/>
            <w:r w:rsidRPr="000012CD">
              <w:rPr>
                <w:rFonts w:ascii="Times New Roman" w:hAnsi="Times New Roman"/>
                <w:sz w:val="24"/>
                <w:szCs w:val="24"/>
                <w:shd w:val="clear" w:color="auto" w:fill="FFFFFF"/>
                <w:lang w:eastAsia="lt-LT"/>
              </w:rPr>
              <w:t>Jokūbauskienė</w:t>
            </w:r>
            <w:proofErr w:type="spellEnd"/>
            <w:r w:rsidRPr="000012CD">
              <w:rPr>
                <w:rFonts w:ascii="Times New Roman" w:hAnsi="Times New Roman"/>
                <w:sz w:val="24"/>
                <w:szCs w:val="24"/>
                <w:shd w:val="clear" w:color="auto" w:fill="FFFFFF"/>
                <w:lang w:eastAsia="lt-LT"/>
              </w:rPr>
              <w:t xml:space="preserve">. </w:t>
            </w:r>
          </w:p>
          <w:p w:rsidR="00390D48" w:rsidRPr="000012CD" w:rsidRDefault="00390D48" w:rsidP="006230A0">
            <w:pPr>
              <w:spacing w:after="0" w:line="240" w:lineRule="auto"/>
              <w:jc w:val="both"/>
              <w:rPr>
                <w:rStyle w:val="lrzxr"/>
                <w:rFonts w:ascii="Times New Roman" w:hAnsi="Times New Roman"/>
                <w:color w:val="222222"/>
                <w:sz w:val="24"/>
                <w:szCs w:val="24"/>
                <w:shd w:val="clear" w:color="auto" w:fill="FFFFFF"/>
              </w:rPr>
            </w:pPr>
            <w:r w:rsidRPr="000012CD">
              <w:rPr>
                <w:rFonts w:ascii="Times New Roman" w:hAnsi="Times New Roman"/>
                <w:sz w:val="24"/>
                <w:szCs w:val="24"/>
                <w:shd w:val="clear" w:color="auto" w:fill="FFFFFF"/>
                <w:lang w:eastAsia="lt-LT"/>
              </w:rPr>
              <w:t xml:space="preserve">Adresas: </w:t>
            </w:r>
            <w:r w:rsidRPr="000012CD">
              <w:rPr>
                <w:rStyle w:val="w8qarf"/>
                <w:rFonts w:ascii="Times New Roman" w:hAnsi="Times New Roman"/>
                <w:bCs/>
                <w:color w:val="222222"/>
                <w:sz w:val="24"/>
                <w:szCs w:val="24"/>
                <w:shd w:val="clear" w:color="auto" w:fill="FFFFFF"/>
              </w:rPr>
              <w:t> </w:t>
            </w:r>
            <w:r w:rsidRPr="000012CD">
              <w:rPr>
                <w:rStyle w:val="lrzxr"/>
                <w:rFonts w:ascii="Times New Roman" w:hAnsi="Times New Roman"/>
                <w:color w:val="222222"/>
                <w:sz w:val="24"/>
                <w:szCs w:val="24"/>
                <w:shd w:val="clear" w:color="auto" w:fill="FFFFFF"/>
              </w:rPr>
              <w:t xml:space="preserve">V. Kudirkos g. 27, Naujoji Akmenė 85145 </w:t>
            </w:r>
          </w:p>
          <w:p w:rsidR="00390D48" w:rsidRPr="000012CD" w:rsidRDefault="00390D48" w:rsidP="006230A0">
            <w:pPr>
              <w:spacing w:after="0" w:line="240" w:lineRule="auto"/>
              <w:jc w:val="both"/>
              <w:rPr>
                <w:rStyle w:val="lrzxr"/>
                <w:rFonts w:ascii="Times New Roman" w:hAnsi="Times New Roman"/>
                <w:color w:val="222222"/>
                <w:sz w:val="24"/>
                <w:szCs w:val="24"/>
                <w:shd w:val="clear" w:color="auto" w:fill="FFFFFF"/>
              </w:rPr>
            </w:pPr>
            <w:r w:rsidRPr="000012CD">
              <w:rPr>
                <w:rStyle w:val="lrzxr"/>
                <w:rFonts w:ascii="Times New Roman" w:hAnsi="Times New Roman"/>
                <w:color w:val="222222"/>
                <w:sz w:val="24"/>
                <w:szCs w:val="24"/>
                <w:shd w:val="clear" w:color="auto" w:fill="FFFFFF"/>
              </w:rPr>
              <w:t xml:space="preserve">Laikas, kuriuo pareiškėjai gali kreiptis nurodytu adresu: nuo pirmadienio iki ketvirtadienio </w:t>
            </w:r>
            <w:r w:rsidR="00DB279A">
              <w:rPr>
                <w:rStyle w:val="lrzxr"/>
                <w:rFonts w:ascii="Times New Roman" w:hAnsi="Times New Roman"/>
                <w:color w:val="222222"/>
                <w:sz w:val="24"/>
                <w:szCs w:val="24"/>
                <w:shd w:val="clear" w:color="auto" w:fill="FFFFFF"/>
              </w:rPr>
              <w:t>13</w:t>
            </w:r>
            <w:r w:rsidRPr="000012CD">
              <w:rPr>
                <w:rStyle w:val="lrzxr"/>
                <w:rFonts w:ascii="Times New Roman" w:hAnsi="Times New Roman"/>
                <w:color w:val="222222"/>
                <w:sz w:val="24"/>
                <w:szCs w:val="24"/>
                <w:shd w:val="clear" w:color="auto" w:fill="FFFFFF"/>
              </w:rPr>
              <w:t>:00</w:t>
            </w:r>
            <w:r w:rsidR="00DB279A">
              <w:rPr>
                <w:rStyle w:val="lrzxr"/>
                <w:rFonts w:ascii="Times New Roman" w:hAnsi="Times New Roman"/>
                <w:color w:val="222222"/>
                <w:sz w:val="24"/>
                <w:szCs w:val="24"/>
                <w:shd w:val="clear" w:color="auto" w:fill="FFFFFF"/>
              </w:rPr>
              <w:t>-15:00</w:t>
            </w:r>
            <w:r w:rsidRPr="000012CD">
              <w:rPr>
                <w:rStyle w:val="lrzxr"/>
                <w:rFonts w:ascii="Times New Roman" w:hAnsi="Times New Roman"/>
                <w:color w:val="222222"/>
                <w:sz w:val="24"/>
                <w:szCs w:val="24"/>
                <w:shd w:val="clear" w:color="auto" w:fill="FFFFFF"/>
              </w:rPr>
              <w:t xml:space="preserve"> val. </w:t>
            </w:r>
          </w:p>
          <w:p w:rsidR="00390D48" w:rsidRPr="000012CD" w:rsidRDefault="00390D48"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Telefonas: +370 602 00298</w:t>
            </w:r>
          </w:p>
          <w:p w:rsidR="00390D48" w:rsidRPr="000012CD" w:rsidRDefault="00390D48" w:rsidP="006230A0">
            <w:pPr>
              <w:spacing w:after="0" w:line="240" w:lineRule="auto"/>
              <w:jc w:val="both"/>
              <w:rPr>
                <w:sz w:val="24"/>
                <w:szCs w:val="24"/>
                <w:lang w:val="en-US"/>
              </w:rPr>
            </w:pPr>
            <w:r w:rsidRPr="000012CD">
              <w:rPr>
                <w:rFonts w:ascii="Times New Roman" w:hAnsi="Times New Roman"/>
                <w:sz w:val="24"/>
                <w:szCs w:val="24"/>
                <w:shd w:val="clear" w:color="auto" w:fill="FFFFFF"/>
                <w:lang w:eastAsia="lt-LT"/>
              </w:rPr>
              <w:t xml:space="preserve">El. paštas: </w:t>
            </w:r>
            <w:proofErr w:type="spellStart"/>
            <w:r w:rsidRPr="000012CD">
              <w:rPr>
                <w:rFonts w:ascii="Times New Roman" w:hAnsi="Times New Roman"/>
                <w:sz w:val="24"/>
                <w:szCs w:val="24"/>
                <w:shd w:val="clear" w:color="auto" w:fill="FFFFFF"/>
                <w:lang w:eastAsia="lt-LT"/>
              </w:rPr>
              <w:t>alina.ziogaite</w:t>
            </w:r>
            <w:proofErr w:type="spellEnd"/>
            <w:r w:rsidRPr="000012CD">
              <w:rPr>
                <w:rFonts w:ascii="Times New Roman" w:hAnsi="Times New Roman"/>
                <w:sz w:val="24"/>
                <w:szCs w:val="24"/>
                <w:shd w:val="clear" w:color="auto" w:fill="FFFFFF"/>
                <w:lang w:val="en-US" w:eastAsia="lt-LT"/>
              </w:rPr>
              <w:t>@gmail.com</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390D48" w:rsidRDefault="00390D48" w:rsidP="006230A0">
            <w:pPr>
              <w:spacing w:after="0" w:line="240" w:lineRule="auto"/>
              <w:rPr>
                <w:rFonts w:ascii="Times New Roman" w:hAnsi="Times New Roman"/>
                <w:sz w:val="24"/>
                <w:szCs w:val="24"/>
              </w:rPr>
            </w:pPr>
            <w:r w:rsidRPr="00390D48">
              <w:rPr>
                <w:rFonts w:ascii="Times New Roman" w:hAnsi="Times New Roman"/>
                <w:sz w:val="24"/>
                <w:szCs w:val="24"/>
                <w:lang w:eastAsia="lt-LT"/>
              </w:rPr>
              <w:t>1</w:t>
            </w:r>
            <w:r w:rsidR="00AE6879">
              <w:rPr>
                <w:rFonts w:ascii="Times New Roman" w:hAnsi="Times New Roman"/>
                <w:sz w:val="24"/>
                <w:szCs w:val="24"/>
                <w:lang w:eastAsia="lt-LT"/>
              </w:rPr>
              <w:t>3.</w:t>
            </w:r>
          </w:p>
        </w:tc>
        <w:tc>
          <w:tcPr>
            <w:tcW w:w="3346" w:type="dxa"/>
            <w:tcBorders>
              <w:top w:val="single" w:sz="4" w:space="0" w:color="000000"/>
              <w:left w:val="single" w:sz="4" w:space="0" w:color="000000"/>
              <w:bottom w:val="single" w:sz="4" w:space="0" w:color="000000"/>
            </w:tcBorders>
            <w:shd w:val="clear" w:color="auto" w:fill="auto"/>
          </w:tcPr>
          <w:p w:rsidR="00390D48" w:rsidRPr="00390D48" w:rsidRDefault="00390D48" w:rsidP="006230A0">
            <w:pPr>
              <w:spacing w:after="0" w:line="240" w:lineRule="auto"/>
              <w:jc w:val="both"/>
              <w:rPr>
                <w:rFonts w:ascii="Times New Roman" w:hAnsi="Times New Roman"/>
                <w:sz w:val="24"/>
                <w:szCs w:val="24"/>
              </w:rPr>
            </w:pPr>
            <w:r w:rsidRPr="00390D48">
              <w:rPr>
                <w:rStyle w:val="Grietas"/>
                <w:rFonts w:ascii="Times New Roman" w:hAnsi="Times New Roman"/>
                <w:b w:val="0"/>
                <w:sz w:val="24"/>
                <w:szCs w:val="24"/>
              </w:rPr>
              <w:t xml:space="preserve">Informacija apie planuojamus mokymus (informacinius susitikimus)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napToGrid w:val="0"/>
              <w:spacing w:after="0" w:line="240" w:lineRule="auto"/>
              <w:jc w:val="both"/>
              <w:rPr>
                <w:rFonts w:ascii="Times New Roman" w:hAnsi="Times New Roman"/>
                <w:sz w:val="24"/>
                <w:szCs w:val="24"/>
              </w:rPr>
            </w:pPr>
            <w:r w:rsidRPr="000012CD">
              <w:rPr>
                <w:rFonts w:ascii="Times New Roman" w:hAnsi="Times New Roman"/>
                <w:sz w:val="24"/>
                <w:szCs w:val="24"/>
              </w:rPr>
              <w:t>2019 m. balandžio 16 d. 11:00 val.</w:t>
            </w:r>
            <w:r>
              <w:rPr>
                <w:rFonts w:ascii="Times New Roman" w:hAnsi="Times New Roman"/>
                <w:sz w:val="24"/>
                <w:szCs w:val="24"/>
              </w:rPr>
              <w:t xml:space="preserve"> Mokymai skirti būsimiems pareiškėjams. </w:t>
            </w:r>
          </w:p>
          <w:p w:rsidR="00390D48" w:rsidRDefault="00390D48" w:rsidP="006230A0">
            <w:pPr>
              <w:snapToGrid w:val="0"/>
              <w:spacing w:after="0" w:line="240" w:lineRule="auto"/>
              <w:jc w:val="both"/>
              <w:rPr>
                <w:rFonts w:ascii="Times New Roman" w:hAnsi="Times New Roman"/>
                <w:sz w:val="24"/>
                <w:szCs w:val="24"/>
              </w:rPr>
            </w:pPr>
            <w:r>
              <w:rPr>
                <w:rFonts w:ascii="Times New Roman" w:hAnsi="Times New Roman"/>
                <w:sz w:val="24"/>
                <w:szCs w:val="24"/>
              </w:rPr>
              <w:t>Temos:</w:t>
            </w:r>
          </w:p>
          <w:p w:rsidR="00390D48" w:rsidRDefault="00390D48" w:rsidP="006230A0">
            <w:pPr>
              <w:snapToGrid w:val="0"/>
              <w:spacing w:after="0" w:line="240" w:lineRule="auto"/>
              <w:jc w:val="both"/>
              <w:rPr>
                <w:rFonts w:ascii="Times New Roman" w:hAnsi="Times New Roman"/>
                <w:sz w:val="24"/>
                <w:szCs w:val="24"/>
              </w:rPr>
            </w:pPr>
            <w:r>
              <w:rPr>
                <w:rFonts w:ascii="Times New Roman" w:hAnsi="Times New Roman"/>
                <w:sz w:val="24"/>
                <w:szCs w:val="24"/>
                <w:lang w:val="en-US"/>
              </w:rPr>
              <w:t xml:space="preserve">1) </w:t>
            </w:r>
            <w:proofErr w:type="spellStart"/>
            <w:r>
              <w:rPr>
                <w:rFonts w:ascii="Times New Roman" w:hAnsi="Times New Roman"/>
                <w:sz w:val="24"/>
                <w:szCs w:val="24"/>
                <w:lang w:val="en-US"/>
              </w:rPr>
              <w:t>Naujosios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Akmen</w:t>
            </w:r>
            <w:proofErr w:type="spellEnd"/>
            <w:r>
              <w:rPr>
                <w:rFonts w:ascii="Times New Roman" w:hAnsi="Times New Roman"/>
                <w:sz w:val="24"/>
                <w:szCs w:val="24"/>
              </w:rPr>
              <w:t>ės miesto vietos veiklos grupės struktūros, veiklos ir tikslų pristatymas.</w:t>
            </w:r>
          </w:p>
          <w:p w:rsidR="00390D48" w:rsidRPr="008E2522" w:rsidRDefault="00390D48" w:rsidP="006230A0">
            <w:pPr>
              <w:snapToGri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parengtumui</w:t>
            </w:r>
            <w:proofErr w:type="spellEnd"/>
            <w:r w:rsidRPr="008E2522">
              <w:rPr>
                <w:rFonts w:ascii="Times New Roman" w:hAnsi="Times New Roman"/>
                <w:sz w:val="24"/>
                <w:szCs w:val="24"/>
                <w:lang w:val="en-US"/>
              </w:rPr>
              <w:t xml:space="preserve"> ir </w:t>
            </w:r>
            <w:proofErr w:type="spellStart"/>
            <w:r w:rsidRPr="008E2522">
              <w:rPr>
                <w:rFonts w:ascii="Times New Roman" w:hAnsi="Times New Roman"/>
                <w:sz w:val="24"/>
                <w:szCs w:val="24"/>
                <w:lang w:val="en-US"/>
              </w:rPr>
              <w:t>įgyvendinimui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išlaidų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tinkamumo</w:t>
            </w:r>
            <w:proofErr w:type="spellEnd"/>
            <w:r w:rsidRPr="008E2522">
              <w:rPr>
                <w:rFonts w:ascii="Times New Roman" w:hAnsi="Times New Roman"/>
                <w:sz w:val="24"/>
                <w:szCs w:val="24"/>
                <w:lang w:val="en-US"/>
              </w:rPr>
              <w:t>/</w:t>
            </w:r>
            <w:proofErr w:type="spellStart"/>
            <w:r w:rsidRPr="008E2522">
              <w:rPr>
                <w:rFonts w:ascii="Times New Roman" w:hAnsi="Times New Roman"/>
                <w:sz w:val="24"/>
                <w:szCs w:val="24"/>
                <w:lang w:val="en-US"/>
              </w:rPr>
              <w:t>netinkamumo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finansuoti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w:t>
            </w:r>
          </w:p>
        </w:tc>
      </w:tr>
    </w:tbl>
    <w:p w:rsidR="00390D48" w:rsidRPr="000012CD" w:rsidRDefault="00390D48" w:rsidP="00390D48">
      <w:pPr>
        <w:spacing w:after="0" w:line="240" w:lineRule="auto"/>
        <w:jc w:val="both"/>
        <w:rPr>
          <w:rFonts w:ascii="Times New Roman" w:hAnsi="Times New Roman"/>
          <w:sz w:val="24"/>
          <w:szCs w:val="24"/>
        </w:rPr>
      </w:pPr>
    </w:p>
    <w:p w:rsidR="00390D48" w:rsidRPr="000012CD" w:rsidRDefault="00390D48" w:rsidP="00390D48">
      <w:pPr>
        <w:spacing w:after="0" w:line="240" w:lineRule="auto"/>
        <w:jc w:val="both"/>
        <w:rPr>
          <w:rFonts w:ascii="Times New Roman" w:hAnsi="Times New Roman"/>
          <w:sz w:val="24"/>
          <w:szCs w:val="24"/>
        </w:rPr>
      </w:pPr>
    </w:p>
    <w:p w:rsidR="00390D48" w:rsidRDefault="00390D48" w:rsidP="00390D48">
      <w:pPr>
        <w:spacing w:after="0" w:line="240" w:lineRule="auto"/>
        <w:jc w:val="both"/>
        <w:rPr>
          <w:rFonts w:ascii="Times New Roman" w:hAnsi="Times New Roman"/>
          <w:sz w:val="24"/>
          <w:szCs w:val="24"/>
        </w:rPr>
      </w:pPr>
    </w:p>
    <w:p w:rsidR="00390D48" w:rsidRDefault="00390D48" w:rsidP="00390D48"/>
    <w:p w:rsidR="003F32E3" w:rsidRDefault="003F32E3"/>
    <w:sectPr w:rsidR="003F32E3" w:rsidSect="0039727F">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257" w:rsidRDefault="00A47257" w:rsidP="003369B4">
      <w:pPr>
        <w:spacing w:after="0" w:line="240" w:lineRule="auto"/>
      </w:pPr>
      <w:r>
        <w:separator/>
      </w:r>
    </w:p>
  </w:endnote>
  <w:endnote w:type="continuationSeparator" w:id="0">
    <w:p w:rsidR="00A47257" w:rsidRDefault="00A47257" w:rsidP="0033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257" w:rsidRDefault="00A47257" w:rsidP="003369B4">
      <w:pPr>
        <w:spacing w:after="0" w:line="240" w:lineRule="auto"/>
      </w:pPr>
      <w:r>
        <w:separator/>
      </w:r>
    </w:p>
  </w:footnote>
  <w:footnote w:type="continuationSeparator" w:id="0">
    <w:p w:rsidR="00A47257" w:rsidRDefault="00A47257" w:rsidP="0033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8"/>
    <w:rsid w:val="000F7729"/>
    <w:rsid w:val="00183654"/>
    <w:rsid w:val="00272CB3"/>
    <w:rsid w:val="003369B4"/>
    <w:rsid w:val="00390D48"/>
    <w:rsid w:val="003F32E3"/>
    <w:rsid w:val="008D40C4"/>
    <w:rsid w:val="00A47257"/>
    <w:rsid w:val="00AE6879"/>
    <w:rsid w:val="00BD646C"/>
    <w:rsid w:val="00C413B9"/>
    <w:rsid w:val="00DB279A"/>
    <w:rsid w:val="00E863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7950"/>
  <w15:docId w15:val="{8C0CEC63-A534-4A65-B165-8234E207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0D48"/>
    <w:pPr>
      <w:suppressAutoHyphens/>
    </w:pPr>
    <w:rPr>
      <w:rFonts w:ascii="Calibri" w:eastAsia="Calibri" w:hAnsi="Calibri" w:cs="Times New Roman"/>
      <w:lang w:eastAsia="zh-CN"/>
    </w:rPr>
  </w:style>
  <w:style w:type="paragraph" w:styleId="Antrat1">
    <w:name w:val="heading 1"/>
    <w:basedOn w:val="Sraopastraipa"/>
    <w:next w:val="prastasis"/>
    <w:link w:val="Antrat1Diagrama"/>
    <w:qFormat/>
    <w:rsid w:val="00390D48"/>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link w:val="Antrat2Diagrama"/>
    <w:qFormat/>
    <w:rsid w:val="00390D48"/>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0D48"/>
    <w:rPr>
      <w:rFonts w:ascii="Times New Roman" w:eastAsia="Calibri" w:hAnsi="Times New Roman" w:cs="Times New Roman"/>
      <w:color w:val="000000"/>
      <w:sz w:val="24"/>
      <w:szCs w:val="24"/>
      <w:lang w:eastAsia="zh-CN"/>
    </w:rPr>
  </w:style>
  <w:style w:type="character" w:customStyle="1" w:styleId="Antrat2Diagrama">
    <w:name w:val="Antraštė 2 Diagrama"/>
    <w:basedOn w:val="Numatytasispastraiposriftas"/>
    <w:link w:val="Antrat2"/>
    <w:rsid w:val="00390D48"/>
    <w:rPr>
      <w:rFonts w:ascii="Times New Roman" w:eastAsia="Times New Roman" w:hAnsi="Times New Roman" w:cs="Times New Roman"/>
      <w:color w:val="000000"/>
      <w:sz w:val="24"/>
      <w:szCs w:val="26"/>
      <w:lang w:eastAsia="zh-CN"/>
    </w:rPr>
  </w:style>
  <w:style w:type="character" w:styleId="Grietas">
    <w:name w:val="Strong"/>
    <w:qFormat/>
    <w:rsid w:val="00390D48"/>
    <w:rPr>
      <w:b/>
      <w:bCs/>
    </w:rPr>
  </w:style>
  <w:style w:type="paragraph" w:customStyle="1" w:styleId="prastasiniatinklio1">
    <w:name w:val="Įprastas (žiniatinklio)1"/>
    <w:basedOn w:val="prastasis"/>
    <w:rsid w:val="00390D48"/>
    <w:pPr>
      <w:spacing w:after="150" w:line="240" w:lineRule="auto"/>
    </w:pPr>
    <w:rPr>
      <w:rFonts w:ascii="Times New Roman" w:eastAsia="Times New Roman" w:hAnsi="Times New Roman"/>
      <w:sz w:val="24"/>
      <w:szCs w:val="24"/>
    </w:rPr>
  </w:style>
  <w:style w:type="paragraph" w:styleId="Sraopastraipa">
    <w:name w:val="List Paragraph"/>
    <w:basedOn w:val="prastasis"/>
    <w:uiPriority w:val="34"/>
    <w:qFormat/>
    <w:rsid w:val="00390D48"/>
    <w:pPr>
      <w:ind w:left="720"/>
      <w:contextualSpacing/>
    </w:pPr>
  </w:style>
  <w:style w:type="character" w:customStyle="1" w:styleId="w8qarf">
    <w:name w:val="w8qarf"/>
    <w:basedOn w:val="Numatytasispastraiposriftas"/>
    <w:rsid w:val="00390D48"/>
  </w:style>
  <w:style w:type="character" w:customStyle="1" w:styleId="lrzxr">
    <w:name w:val="lrzxr"/>
    <w:basedOn w:val="Numatytasispastraiposriftas"/>
    <w:rsid w:val="00390D48"/>
  </w:style>
  <w:style w:type="paragraph" w:styleId="Antrats">
    <w:name w:val="header"/>
    <w:basedOn w:val="prastasis"/>
    <w:link w:val="AntratsDiagrama"/>
    <w:uiPriority w:val="99"/>
    <w:unhideWhenUsed/>
    <w:rsid w:val="003369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369B4"/>
    <w:rPr>
      <w:rFonts w:ascii="Calibri" w:eastAsia="Calibri" w:hAnsi="Calibri" w:cs="Times New Roman"/>
      <w:lang w:eastAsia="zh-CN"/>
    </w:rPr>
  </w:style>
  <w:style w:type="paragraph" w:styleId="Porat">
    <w:name w:val="footer"/>
    <w:basedOn w:val="prastasis"/>
    <w:link w:val="PoratDiagrama"/>
    <w:uiPriority w:val="99"/>
    <w:unhideWhenUsed/>
    <w:rsid w:val="003369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69B4"/>
    <w:rPr>
      <w:rFonts w:ascii="Calibri" w:eastAsia="Calibri" w:hAnsi="Calibri" w:cs="Times New Roman"/>
      <w:lang w:eastAsia="zh-CN"/>
    </w:rPr>
  </w:style>
  <w:style w:type="character" w:styleId="Hipersaitas">
    <w:name w:val="Hyperlink"/>
    <w:basedOn w:val="Numatytasispastraiposriftas"/>
    <w:uiPriority w:val="99"/>
    <w:unhideWhenUsed/>
    <w:rsid w:val="003369B4"/>
    <w:rPr>
      <w:color w:val="0000FF" w:themeColor="hyperlink"/>
      <w:u w:val="single"/>
    </w:rPr>
  </w:style>
  <w:style w:type="character" w:styleId="Neapdorotaspaminjimas">
    <w:name w:val="Unresolved Mention"/>
    <w:basedOn w:val="Numatytasispastraiposriftas"/>
    <w:uiPriority w:val="99"/>
    <w:semiHidden/>
    <w:unhideWhenUsed/>
    <w:rsid w:val="0033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f351c5f05aaf11e98b599e654d7d03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8936</Words>
  <Characters>5095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Beva</dc:creator>
  <cp:lastModifiedBy>Vartotojas</cp:lastModifiedBy>
  <cp:revision>3</cp:revision>
  <dcterms:created xsi:type="dcterms:W3CDTF">2019-04-10T12:05:00Z</dcterms:created>
  <dcterms:modified xsi:type="dcterms:W3CDTF">2019-05-08T07:19:00Z</dcterms:modified>
</cp:coreProperties>
</file>